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pStyle w:val="Userstyle"/>
      </w:pPr>
      <w:r>
        <w:t>停车场项目验收报告</w:t>
      </w:r>
      <w:r>
        <w:rPr>
          <w:b/>
        </w:rPr>
      </w:r>
    </w:p>
    <w:p/>
    <w:p/>
    <w:p/>
    <w:p/>
    <w:p>
      <w:pPr>
        <w:pStyle w:val="Userstyle1"/>
      </w:pPr>
      <w:r>
        <w:t>项目名称：</w:t>
      </w:r>
      <w:r>
        <w:rPr>
          <w:u w:val="single"/>
        </w:rPr>
        <w:t>郑州丹尼斯大卫城停车场</w:t>
      </w:r>
    </w:p>
    <w:p>
      <w:pPr>
        <w:pStyle w:val="Userstyle1"/>
      </w:pPr>
      <w:r>
        <w:t>验收日期：</w:t>
      </w:r>
      <w:r>
        <w:rPr>
          <w:u w:val="single"/>
        </w:rPr>
        <w:t>2023-11-14</w:t>
      </w:r>
    </w:p>
    <w:p>
      <w:pPr>
        <w:pStyle w:val="Userstyle1"/>
      </w:pPr>
      <w:r>
        <w:t>验收部门：</w:t>
      </w:r>
      <w:r>
        <w:rPr>
          <w:u w:val="single"/>
        </w:rPr>
        <w:t>质量效能部-QA</w:t>
      </w:r>
    </w:p>
    <w:p>
      <w:r>
        <w:br w:type="page"/>
      </w:r>
    </w:p>
    <w:p>
      <w:r>
        <w:rPr>
          <w:rStyle w:val="Userstyle2"/>
          <w:b/>
        </w:rPr>
        <w:t>一、车位信息</w:t>
      </w:r>
    </w:p>
    <w:p>
      <w:r>
        <w:t>共[ 1622 ]个车位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pPr>
              <w:jc w:val="center"/>
            </w:pPr>
            <w:r>
              <w:t>楼层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车位数量(个)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B2F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466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B3F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577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B4F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579</w:t>
            </w:r>
          </w:p>
        </w:tc>
      </w:tr>
    </w:tbl>
    <w:p/>
    <w:p/>
    <w:p>
      <w:r>
        <w:rPr>
          <w:rStyle w:val="Userstyle2"/>
          <w:b/>
        </w:rPr>
        <w:t xml:space="preserve">二、硬件信息 </w:t>
      </w:r>
    </w:p>
    <w:p>
      <w:pPr>
        <w:pStyle w:val="ListNumber"/>
      </w:pPr>
      <w:r>
        <w:rPr>
          <w:b/>
        </w:rPr>
        <w:t>相机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222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173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49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color w:val="FF0000"/>
              </w:rPr>
              <w:t>风险</w:t>
            </w:r>
          </w:p>
        </w:tc>
      </w:tr>
    </w:tbl>
    <w:p/>
    <w:p>
      <w:r>
        <w:rPr>
          <w:rStyle w:val="Userstyle2"/>
          <w:b/>
        </w:rPr>
        <w:t xml:space="preserve">三、数据精度 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测试日期</w:t>
            </w:r>
          </w:p>
        </w:tc>
        <w:tc>
          <w:tcPr>
            <w:tcW w:type="dxa" w:w="2160"/>
          </w:tcPr>
          <w:p>
            <w:r>
              <w:t>测试类型</w:t>
            </w:r>
          </w:p>
        </w:tc>
        <w:tc>
          <w:tcPr>
            <w:tcW w:type="dxa" w:w="2160"/>
          </w:tcPr>
          <w:p>
            <w:r>
              <w:t>准确率</w:t>
            </w:r>
          </w:p>
        </w:tc>
        <w:tc>
          <w:tcPr>
            <w:tcW w:type="dxa" w:w="2160"/>
          </w:tcPr>
          <w:p>
            <w:r>
              <w:t>验收结果</w:t>
            </w:r>
          </w:p>
        </w:tc>
      </w:tr>
      <w:tr>
        <w:tc>
          <w:tcPr>
            <w:tcW w:type="dxa" w:w="2160"/>
          </w:tcPr>
          <w:p>
            <w:r>
              <w:t>2023-09-27</w:t>
            </w:r>
          </w:p>
        </w:tc>
        <w:tc>
          <w:tcPr>
            <w:tcW w:type="dxa" w:w="2160"/>
          </w:tcPr>
          <w:p>
            <w:r>
              <w:t>反向寻车</w:t>
            </w:r>
          </w:p>
        </w:tc>
        <w:tc>
          <w:tcPr>
            <w:tcW w:type="dxa" w:w="2160"/>
          </w:tcPr>
          <w:p>
            <w:r>
              <w:t>99.25%</w:t>
            </w:r>
          </w:p>
        </w:tc>
        <w:tc>
          <w:tcPr>
            <w:tcW w:type="dxa" w:w="2160"/>
          </w:tcPr>
          <w:p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2160"/>
          </w:tcPr>
          <w:p>
            <w:r>
              <w:t>2023-09-17</w:t>
            </w:r>
          </w:p>
        </w:tc>
        <w:tc>
          <w:tcPr>
            <w:tcW w:type="dxa" w:w="2160"/>
          </w:tcPr>
          <w:p>
            <w:r>
              <w:t>反向寻车</w:t>
            </w:r>
          </w:p>
        </w:tc>
        <w:tc>
          <w:tcPr>
            <w:tcW w:type="dxa" w:w="2160"/>
          </w:tcPr>
          <w:p>
            <w:r>
              <w:t>97.59%</w:t>
            </w:r>
          </w:p>
        </w:tc>
        <w:tc>
          <w:tcPr>
            <w:tcW w:type="dxa" w:w="2160"/>
          </w:tcPr>
          <w:p>
            <w:r>
              <w:rPr>
                <w:color w:val="00CD00"/>
              </w:rPr>
              <w:t>通过</w:t>
            </w:r>
          </w:p>
        </w:tc>
      </w:tr>
    </w:tbl>
    <w:p>
      <w:pPr>
        <w:pStyle w:val="ListBullet"/>
      </w:pPr>
      <w:r>
        <w:t>验收总结：</w:t>
      </w:r>
      <w:r>
        <w:t>测试结果连续两次达标，验收【 通过 】</w:t>
      </w:r>
    </w:p>
    <w:p/>
    <w:p>
      <w:pPr>
        <w:pStyle w:val="ListBullet"/>
      </w:pPr>
      <w:r>
        <w:t>反向寻车：</w:t>
      </w:r>
      <w:r>
        <w:rPr>
          <w:color w:val="636363"/>
          <w:sz w:val="26"/>
        </w:rPr>
        <w:t>根据现场实际提交车辆所在车位与系统算出来的车位做对比，结果一致为正确（不超过相邻3车位正确）</w:t>
      </w:r>
    </w:p>
    <w:p>
      <w:pPr>
        <w:pStyle w:val="ListBullet"/>
      </w:pPr>
      <w:r>
        <w:t>车位状态：</w:t>
      </w:r>
      <w:r>
        <w:rPr>
          <w:color w:val="636363"/>
          <w:sz w:val="26"/>
        </w:rPr>
        <w:t>根据现场实际提交车辆、车位信息与系统算出来的车位状态做对比，结果一致为正确</w:t>
      </w:r>
    </w:p>
    <w:p>
      <w:pPr>
        <w:pStyle w:val="ListBullet"/>
      </w:pPr>
      <w:r>
        <w:t>红绿灯：</w:t>
      </w:r>
      <w:r>
        <w:rPr>
          <w:color w:val="636363"/>
          <w:sz w:val="26"/>
        </w:rPr>
        <w:t>根据现场实际提交红绿灯状态、实际的车位状态及系统算法红绿灯状态做对比，结果一致为正确</w:t>
      </w:r>
    </w:p>
    <w:p/>
    <w:p>
      <w:r>
        <w:rPr>
          <w:rStyle w:val="Userstyle2"/>
          <w:b/>
        </w:rPr>
        <w:t>四、停车场-BI验收报告</w:t>
      </w:r>
    </w:p>
    <w:p/>
    <w:p>
      <w:pPr>
        <w:pStyle w:val="ListNumber2"/>
      </w:pPr>
      <w:r>
        <w:rPr>
          <w:b/>
        </w:rPr>
        <w:t>数据</w:t>
      </w:r>
    </w:p>
    <w:tbl>
      <w:tblPr>
        <w:tblStyle w:val="MediumGrid3-Accent6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984"/>
          </w:tcPr>
          <w:p>
            <w:pPr>
              <w:jc w:val="center"/>
            </w:pPr>
            <w:r>
              <w:t>测试日期</w:t>
            </w:r>
          </w:p>
        </w:tc>
        <w:tc>
          <w:tcPr>
            <w:tcW w:type="dxa" w:w="1497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准确率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结果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2023-11-07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2023-11-08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2023-11-09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97.83%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EE9A00"/>
              </w:rPr>
              <w:t>预警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2023-11-10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97.83%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EE9A00"/>
              </w:rPr>
              <w:t>预警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2023-11-11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97.83%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EE9A00"/>
              </w:rPr>
              <w:t>预警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2023-11-12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97.83%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EE9A00"/>
              </w:rPr>
              <w:t>预警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2023-11-13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</w:tbl>
    <w:p/>
    <w:p>
      <w:pPr>
        <w:pStyle w:val="ListNumber2"/>
      </w:pPr>
      <w:r>
        <w:rPr>
          <w:b/>
        </w:rPr>
        <w:t>功能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pPr>
              <w:jc w:val="center"/>
            </w:pPr>
            <w:r>
              <w:t>页面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功能</w:t>
            </w:r>
          </w:p>
        </w:tc>
        <w:tc>
          <w:tcPr>
            <w:tcW w:type="dxa" w:w="2665"/>
          </w:tcPr>
          <w:p>
            <w:pPr>
              <w:jc w:val="center"/>
            </w:pPr>
            <w:r>
              <w:t>模块名称</w:t>
            </w:r>
          </w:p>
        </w:tc>
        <w:tc>
          <w:tcPr>
            <w:tcW w:type="dxa" w:w="1644"/>
          </w:tcPr>
          <w:p>
            <w:pPr>
              <w:jc w:val="center"/>
            </w:pPr>
            <w:r>
              <w:t>结果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车辆统计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车场概况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平均入场时间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平均出场时间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平均入场车流量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平均出场车流量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累计新到场车流量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日均新到场车流量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停车位占用比例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停车位平均周转率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平均违停车次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平均每天拥堵时长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平均每次拥堵时长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车场出入场流量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车辆明细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流量统计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停车位占用比例（分层）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停车位平均周转率（分层）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通道热力图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车流量分时曲线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停车位热力图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停车位被占用车位数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停车位使用时长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出入场效率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车辆入场效率统计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分时车辆平均入场时长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⻋辆出场效率统计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分时⻋辆平均出场时⻓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车辆画像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车辆车型品牌统计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车辆品牌词云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车辆价格分布统计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车辆平均价格统计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安全管理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安全管理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平均违停车次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违停监控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拥堵监控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报警管理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报警配置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黑名单车牌号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报警手机号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权限管理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权限管理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创建账号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配置权限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VIP预约车位管理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地锁管理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地锁管理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预约方案管理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预约方案管理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后台预约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后台预约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长期车管理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长期车管理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正向引导管理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区域管理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区域管理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入口管理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入口管理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华文行楷" w:hAnsi="华文行楷" w:eastAsia="华文行楷"/>
        <w:color w:val="128868"/>
        <w:sz w:val="24"/>
      </w:rPr>
      <w:t>郑州丹尼斯大卫城停车场验收报告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华文行楷" w:hAnsi="华文行楷" w:eastAsia="华文行楷"/>
        <w:color w:val="128868"/>
        <w:sz w:val="30"/>
      </w:rPr>
      <w:t>✈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（正文）" w:hAnsi="宋体（正文）" w:eastAsia="宋体（正文）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Userstyle">
    <w:name w:val="Userstyle"/>
    <w:pPr>
      <w:jc w:val="center"/>
    </w:pPr>
    <w:rPr>
      <w:rFonts w:ascii="宋体（标题）" w:hAnsi="宋体（标题）" w:eastAsia="宋体（标题）"/>
      <w:b/>
      <w:color w:val="000000"/>
      <w:sz w:val="60"/>
    </w:rPr>
  </w:style>
  <w:style w:type="paragraph" w:customStyle="1" w:styleId="Userstyle1">
    <w:name w:val="Userstyle1"/>
    <w:pPr>
      <w:ind w:firstLine="1134"/>
      <w:jc w:val="left"/>
    </w:pPr>
    <w:rPr>
      <w:rFonts w:ascii="宋体（正文）" w:hAnsi="宋体（正文）" w:eastAsia="宋体（正文）"/>
      <w:color w:val="000000"/>
      <w:sz w:val="44"/>
    </w:rPr>
  </w:style>
  <w:style w:type="character" w:customStyle="1" w:styleId="Userstyle2">
    <w:name w:val="Userstyle2"/>
    <w:rPr>
      <w:rFonts w:ascii="宋体（正文）" w:hAnsi="宋体（正文）" w:eastAsia="宋体（正文）"/>
      <w:color w:val="000000"/>
      <w:sz w:val="40"/>
    </w:rPr>
  </w:style>
  <w:style w:type="character" w:customStyle="1" w:styleId="Userstyle3">
    <w:name w:val="Userstyle3"/>
    <w:rPr>
      <w:rFonts w:ascii="宋体（正文）" w:hAnsi="宋体（正文）" w:eastAsia="宋体（正文）"/>
      <w:color w:val="000000"/>
      <w:sz w:val="3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