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pStyle w:val="Userstyle"/>
      </w:pPr>
      <w:r>
        <w:t>停车场项目验收报告</w:t>
      </w:r>
      <w:r>
        <w:rPr>
          <w:b/>
        </w:rPr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3810000" cy="2908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ail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9083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Userstyle1"/>
      </w:pPr>
      <w:r>
        <w:t>项目名称：</w:t>
      </w:r>
      <w:r>
        <w:rPr>
          <w:u w:val="single"/>
        </w:rPr>
        <w:t>成都华联SKP停车场</w:t>
      </w:r>
    </w:p>
    <w:p>
      <w:pPr>
        <w:pStyle w:val="Userstyle1"/>
      </w:pPr>
      <w:r>
        <w:t>系统版本：</w:t>
      </w:r>
      <w:r>
        <w:rPr>
          <w:u w:val="single"/>
        </w:rPr>
        <w:t>ParkinglotV7.4.0</w:t>
      </w:r>
    </w:p>
    <w:p>
      <w:pPr>
        <w:pStyle w:val="Userstyle1"/>
      </w:pPr>
      <w:r>
        <w:t>验收日期：</w:t>
      </w:r>
      <w:r>
        <w:rPr>
          <w:u w:val="single"/>
        </w:rPr>
        <w:t>2024-10-24</w:t>
      </w:r>
    </w:p>
    <w:p>
      <w:pPr>
        <w:pStyle w:val="Userstyle1"/>
      </w:pPr>
      <w:r>
        <w:t>验收部门：</w:t>
      </w:r>
      <w:r>
        <w:rPr>
          <w:u w:val="single"/>
        </w:rPr>
        <w:t>质量效能部-QA</w:t>
      </w:r>
    </w:p>
    <w:p>
      <w:r>
        <w:br w:type="page"/>
      </w:r>
    </w:p>
    <w:p>
      <w:r>
        <w:rPr>
          <w:rStyle w:val="Userstyle2"/>
          <w:b/>
        </w:rPr>
        <w:t>一、车位信息</w:t>
      </w:r>
    </w:p>
    <w:p>
      <w:r>
        <w:t>共[ 1976 ]个车位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楼层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车位数量(个)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EB1F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258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NB1F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193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NB2F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268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NB3F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245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SB1F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108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SB2F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391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SB3F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513</w:t>
            </w:r>
          </w:p>
        </w:tc>
      </w:tr>
    </w:tbl>
    <w:p/>
    <w:p>
      <w:r>
        <w:rPr>
          <w:rStyle w:val="Userstyle2"/>
          <w:b/>
        </w:rPr>
        <w:t xml:space="preserve">二、硬件信息 </w:t>
      </w:r>
    </w:p>
    <w:p>
      <w:pPr>
        <w:pStyle w:val="ListNumber"/>
      </w:pPr>
      <w:r>
        <w:rPr>
          <w:b/>
        </w:rPr>
        <w:t>相机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239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216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23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FF0000"/>
              </w:rPr>
              <w:t>风险</w:t>
            </w:r>
          </w:p>
        </w:tc>
      </w:tr>
    </w:tbl>
    <w:p/>
    <w:p>
      <w:pPr>
        <w:pStyle w:val="ListNumber"/>
      </w:pPr>
      <w:r>
        <w:rPr>
          <w:b/>
        </w:rPr>
        <w:t>地锁</w:t>
      </w:r>
    </w:p>
    <w:p>
      <w:r>
        <w:t>共[ 30 ]个地锁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30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30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>
      <w:r>
        <w:rPr>
          <w:rStyle w:val="Userstyle2"/>
          <w:b/>
        </w:rPr>
        <w:t xml:space="preserve">三、数据精度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测试日期</w:t>
            </w:r>
          </w:p>
        </w:tc>
        <w:tc>
          <w:tcPr>
            <w:tcW w:type="dxa" w:w="2160"/>
          </w:tcPr>
          <w:p>
            <w:r>
              <w:t>测试类型</w:t>
            </w:r>
          </w:p>
        </w:tc>
        <w:tc>
          <w:tcPr>
            <w:tcW w:type="dxa" w:w="2160"/>
          </w:tcPr>
          <w:p>
            <w:r>
              <w:t>准确率</w:t>
            </w:r>
          </w:p>
        </w:tc>
        <w:tc>
          <w:tcPr>
            <w:tcW w:type="dxa" w:w="2160"/>
          </w:tcPr>
          <w:p>
            <w:r>
              <w:t>验收结果</w:t>
            </w:r>
          </w:p>
        </w:tc>
      </w:tr>
      <w:tr>
        <w:tc>
          <w:tcPr>
            <w:tcW w:type="dxa" w:w="2160"/>
          </w:tcPr>
          <w:p>
            <w:r>
              <w:t>2024-06-13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97.04%</w:t>
            </w:r>
          </w:p>
        </w:tc>
        <w:tc>
          <w:tcPr>
            <w:tcW w:type="dxa" w:w="2160"/>
          </w:tcPr>
          <w:p>
            <w:r>
              <w:rPr>
                <w:color w:val="FF0000"/>
              </w:rPr>
              <w:t>风险</w:t>
            </w:r>
          </w:p>
        </w:tc>
      </w:tr>
      <w:tr>
        <w:tc>
          <w:tcPr>
            <w:tcW w:type="dxa" w:w="2160"/>
          </w:tcPr>
          <w:p>
            <w:r>
              <w:t>2024-06-02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97.05%</w:t>
            </w:r>
          </w:p>
        </w:tc>
        <w:tc>
          <w:tcPr>
            <w:tcW w:type="dxa" w:w="2160"/>
          </w:tcPr>
          <w:p>
            <w:r>
              <w:rPr>
                <w:color w:val="FF0000"/>
              </w:rPr>
              <w:t>风险</w:t>
            </w:r>
          </w:p>
        </w:tc>
      </w:tr>
    </w:tbl>
    <w:p>
      <w:pPr>
        <w:pStyle w:val="ListBullet"/>
      </w:pPr>
      <w:r>
        <w:t>验收总结：测试结果未连续两次达标，验收</w:t>
      </w:r>
      <w:r>
        <w:rPr>
          <w:color w:val="FF4040"/>
        </w:rPr>
        <w:t>【 不通过 】</w:t>
      </w:r>
    </w:p>
    <w:p/>
    <w:p>
      <w:pPr>
        <w:pStyle w:val="ListBullet"/>
      </w:pPr>
      <w:r>
        <w:t>反向寻车：</w:t>
      </w:r>
      <w:r>
        <w:rPr>
          <w:color w:val="636363"/>
          <w:sz w:val="26"/>
        </w:rPr>
        <w:t>根据现场实际提交车辆所在车位与系统算出来的车位做对比，结果一致为正确（不超过相邻3车位正确）</w:t>
      </w:r>
    </w:p>
    <w:p>
      <w:pPr>
        <w:pStyle w:val="ListBullet"/>
      </w:pPr>
      <w:r>
        <w:t>车位状态：</w:t>
      </w:r>
      <w:r>
        <w:rPr>
          <w:color w:val="636363"/>
          <w:sz w:val="26"/>
        </w:rPr>
        <w:t>根据现场实际提交车辆、车位信息与系统算出来的车位状态做对比，结果一致为正确</w:t>
      </w:r>
    </w:p>
    <w:p>
      <w:pPr>
        <w:pStyle w:val="ListBullet"/>
      </w:pPr>
      <w:r>
        <w:t>红绿灯：</w:t>
      </w:r>
      <w:r>
        <w:rPr>
          <w:color w:val="636363"/>
          <w:sz w:val="26"/>
        </w:rPr>
        <w:t>根据现场实际提交红绿灯状态、实际的车位状态及系统算法红绿灯状态做对比，结果一致为正确</w:t>
      </w:r>
    </w:p>
    <w:p/>
    <w:sectPr w:rsidR="00FC693F" w:rsidRPr="0006063C" w:rsidSect="0003461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华文行楷" w:hAnsi="华文行楷" w:eastAsia="华文行楷"/>
        <w:sz w:val="24"/>
      </w:rPr>
      <w:t>成都华联SKP停车场验收报告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华文行楷" w:hAnsi="华文行楷" w:eastAsia="华文行楷"/>
        <w:sz w:val="30"/>
      </w:rPr>
      <w:t>爱笔(北京)智能科技有限公司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（正文）" w:hAnsi="宋体（正文）" w:eastAsia="宋体（正文）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erstyle">
    <w:name w:val="Userstyle"/>
    <w:pPr>
      <w:jc w:val="center"/>
    </w:pPr>
    <w:rPr>
      <w:rFonts w:ascii="宋体（标题）" w:hAnsi="宋体（标题）" w:eastAsia="宋体（标题）"/>
      <w:b/>
      <w:color w:val="000000"/>
      <w:sz w:val="60"/>
    </w:rPr>
  </w:style>
  <w:style w:type="paragraph" w:customStyle="1" w:styleId="Userstyle1">
    <w:name w:val="Userstyle1"/>
    <w:pPr>
      <w:ind w:firstLine="1134"/>
      <w:jc w:val="left"/>
    </w:pPr>
    <w:rPr>
      <w:rFonts w:ascii="宋体（正文）" w:hAnsi="宋体（正文）" w:eastAsia="宋体（正文）"/>
      <w:color w:val="000000"/>
      <w:sz w:val="44"/>
    </w:rPr>
  </w:style>
  <w:style w:type="character" w:customStyle="1" w:styleId="Userstyle2">
    <w:name w:val="Userstyle2"/>
    <w:rPr>
      <w:rFonts w:ascii="宋体（正文）" w:hAnsi="宋体（正文）" w:eastAsia="宋体（正文）"/>
      <w:color w:val="000000"/>
      <w:sz w:val="40"/>
    </w:rPr>
  </w:style>
  <w:style w:type="character" w:customStyle="1" w:styleId="Userstyle3">
    <w:name w:val="Userstyle3"/>
    <w:rPr>
      <w:rFonts w:ascii="宋体（正文）" w:hAnsi="宋体（正文）" w:eastAsia="宋体（正文）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