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克拉玛依汇嘉滨河广场停车场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2023-11-14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共[ 241 ]个车位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241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116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114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共[ 67 ]个红绿灯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67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67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2023-11-10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98.29%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2023-11-09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98.51%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2023-11-10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99.53%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2023-11-09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98.59%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2023-11-10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98.36%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2023-11-09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98.33%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克拉玛依汇嘉滨河广场停车场验收报告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