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/>
    <w:p>
      <w:pPr>
        <w:pStyle w:val="Userstyle"/>
      </w:pPr>
      <w:r>
        <w:t>停车场项目验收报告</w:t>
      </w:r>
      <w:r>
        <w:rPr>
          <w:b/>
        </w:rPr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3810000" cy="29083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fail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29083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Userstyle1"/>
      </w:pPr>
      <w:r>
        <w:t>项目名称：</w:t>
      </w:r>
      <w:r>
        <w:rPr>
          <w:u w:val="single"/>
        </w:rPr>
        <w:t>上海虹桥万科中心停车场G1</w:t>
      </w:r>
    </w:p>
    <w:p>
      <w:pPr>
        <w:pStyle w:val="Userstyle1"/>
      </w:pPr>
      <w:r>
        <w:t>系统版本：</w:t>
      </w:r>
      <w:r>
        <w:rPr>
          <w:u w:val="single"/>
        </w:rPr>
        <w:t>ParkinglotV7.4.0</w:t>
      </w:r>
    </w:p>
    <w:p>
      <w:pPr>
        <w:pStyle w:val="Userstyle1"/>
      </w:pPr>
      <w:r>
        <w:t>验收日期：</w:t>
      </w:r>
      <w:r>
        <w:rPr>
          <w:u w:val="single"/>
        </w:rPr>
        <w:t>2025-06-04</w:t>
      </w:r>
    </w:p>
    <w:p>
      <w:pPr>
        <w:pStyle w:val="Userstyle1"/>
      </w:pPr>
      <w:r>
        <w:t>验收部门：</w:t>
      </w:r>
      <w:r>
        <w:rPr>
          <w:u w:val="single"/>
        </w:rPr>
        <w:t>质量效能部-QA</w:t>
      </w:r>
    </w:p>
    <w:p>
      <w:r>
        <w:br w:type="page"/>
      </w:r>
    </w:p>
    <w:p>
      <w:r>
        <w:rPr>
          <w:rStyle w:val="Userstyle2"/>
          <w:b/>
        </w:rPr>
        <w:t>一、车位信息</w:t>
      </w:r>
    </w:p>
    <w:p>
      <w:r>
        <w:t>共[ 976 ]个车位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pPr>
              <w:jc w:val="center"/>
            </w:pPr>
            <w:r>
              <w:t>楼层</w:t>
            </w:r>
          </w:p>
        </w:tc>
        <w:tc>
          <w:tcPr>
            <w:tcW w:type="dxa" w:w="4320"/>
          </w:tcPr>
          <w:p>
            <w:pPr>
              <w:jc w:val="center"/>
            </w:pPr>
            <w:r>
              <w:t>车位数量(个)</w:t>
            </w:r>
          </w:p>
        </w:tc>
      </w:tr>
      <w:tr>
        <w:tc>
          <w:tcPr>
            <w:tcW w:type="dxa" w:w="4320"/>
          </w:tcPr>
          <w:p>
            <w:pPr>
              <w:jc w:val="center"/>
            </w:pPr>
            <w:r>
              <w:t>B1F</w:t>
            </w:r>
          </w:p>
        </w:tc>
        <w:tc>
          <w:tcPr>
            <w:tcW w:type="dxa" w:w="4320"/>
          </w:tcPr>
          <w:p>
            <w:pPr>
              <w:jc w:val="center"/>
            </w:pPr>
            <w:r>
              <w:t>128</w:t>
            </w:r>
          </w:p>
        </w:tc>
      </w:tr>
      <w:tr>
        <w:tc>
          <w:tcPr>
            <w:tcW w:type="dxa" w:w="4320"/>
          </w:tcPr>
          <w:p>
            <w:pPr>
              <w:jc w:val="center"/>
            </w:pPr>
            <w:r>
              <w:t>B2F</w:t>
            </w:r>
          </w:p>
        </w:tc>
        <w:tc>
          <w:tcPr>
            <w:tcW w:type="dxa" w:w="4320"/>
          </w:tcPr>
          <w:p>
            <w:pPr>
              <w:jc w:val="center"/>
            </w:pPr>
            <w:r>
              <w:t>228</w:t>
            </w:r>
          </w:p>
        </w:tc>
      </w:tr>
      <w:tr>
        <w:tc>
          <w:tcPr>
            <w:tcW w:type="dxa" w:w="4320"/>
          </w:tcPr>
          <w:p>
            <w:pPr>
              <w:jc w:val="center"/>
            </w:pPr>
            <w:r>
              <w:t>B3F</w:t>
            </w:r>
          </w:p>
        </w:tc>
        <w:tc>
          <w:tcPr>
            <w:tcW w:type="dxa" w:w="4320"/>
          </w:tcPr>
          <w:p>
            <w:pPr>
              <w:jc w:val="center"/>
            </w:pPr>
            <w:r>
              <w:t>620</w:t>
            </w:r>
          </w:p>
        </w:tc>
      </w:tr>
    </w:tbl>
    <w:p/>
    <w:p/>
    <w:p>
      <w:r>
        <w:rPr>
          <w:rStyle w:val="Userstyle2"/>
          <w:b/>
        </w:rPr>
        <w:t xml:space="preserve">二、硬件信息 </w:t>
      </w:r>
    </w:p>
    <w:p>
      <w:pPr>
        <w:pStyle w:val="ListNumber"/>
      </w:pPr>
      <w:r>
        <w:rPr>
          <w:b/>
        </w:rPr>
        <w:t>相机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pPr>
              <w:jc w:val="center"/>
            </w:pPr>
            <w:r>
              <w:t>测试总数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通过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失败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未测试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验收结果</w:t>
            </w:r>
          </w:p>
        </w:tc>
      </w:tr>
      <w:tr>
        <w:tc>
          <w:tcPr>
            <w:tcW w:type="dxa" w:w="1728"/>
          </w:tcPr>
          <w:p>
            <w:pPr>
              <w:jc w:val="center"/>
            </w:pPr>
            <w:r>
              <w:t>133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79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54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color w:val="FF0000"/>
              </w:rPr>
              <w:t>风险</w:t>
            </w:r>
          </w:p>
        </w:tc>
      </w:tr>
    </w:tbl>
    <w:p/>
    <w:p>
      <w:pPr>
        <w:pStyle w:val="ListNumber"/>
      </w:pPr>
      <w:r>
        <w:rPr>
          <w:b/>
        </w:rPr>
        <w:t>红绿灯</w:t>
      </w:r>
    </w:p>
    <w:p>
      <w:r>
        <w:t>共[ 2 ]个红绿灯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pPr>
              <w:jc w:val="center"/>
            </w:pPr>
            <w:r>
              <w:t>测试总数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通过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失败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未测试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验收结果</w:t>
            </w:r>
          </w:p>
        </w:tc>
      </w:tr>
      <w:tr>
        <w:tc>
          <w:tcPr>
            <w:tcW w:type="dxa" w:w="1728"/>
          </w:tcPr>
          <w:p>
            <w:pPr>
              <w:jc w:val="center"/>
            </w:pPr>
          </w:p>
        </w:tc>
        <w:tc>
          <w:tcPr>
            <w:tcW w:type="dxa" w:w="1728"/>
          </w:tcPr>
          <w:p>
            <w:pPr>
              <w:jc w:val="center"/>
            </w:pPr>
          </w:p>
        </w:tc>
        <w:tc>
          <w:tcPr>
            <w:tcW w:type="dxa" w:w="1728"/>
          </w:tcPr>
          <w:p>
            <w:pPr>
              <w:jc w:val="center"/>
            </w:pPr>
          </w:p>
        </w:tc>
        <w:tc>
          <w:tcPr>
            <w:tcW w:type="dxa" w:w="1728"/>
          </w:tcPr>
          <w:p>
            <w:pPr>
              <w:jc w:val="center"/>
            </w:pPr>
          </w:p>
        </w:tc>
        <w:tc>
          <w:tcPr>
            <w:tcW w:type="dxa" w:w="1728"/>
          </w:tcPr>
          <w:p>
            <w:pPr>
              <w:jc w:val="center"/>
            </w:pPr>
          </w:p>
        </w:tc>
      </w:tr>
    </w:tbl>
    <w:p/>
    <w:p/>
    <w:p>
      <w:r>
        <w:rPr>
          <w:rStyle w:val="Userstyle2"/>
          <w:b/>
        </w:rPr>
        <w:t xml:space="preserve">三、数据精度 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测试日期</w:t>
            </w:r>
          </w:p>
        </w:tc>
        <w:tc>
          <w:tcPr>
            <w:tcW w:type="dxa" w:w="2160"/>
          </w:tcPr>
          <w:p>
            <w:r>
              <w:t>测试类型</w:t>
            </w:r>
          </w:p>
        </w:tc>
        <w:tc>
          <w:tcPr>
            <w:tcW w:type="dxa" w:w="2160"/>
          </w:tcPr>
          <w:p>
            <w:r>
              <w:t>准确率</w:t>
            </w:r>
          </w:p>
        </w:tc>
        <w:tc>
          <w:tcPr>
            <w:tcW w:type="dxa" w:w="2160"/>
          </w:tcPr>
          <w:p>
            <w:r>
              <w:t>验收结果</w:t>
            </w:r>
          </w:p>
        </w:tc>
      </w:tr>
      <w:tr>
        <w:tc>
          <w:tcPr>
            <w:tcW w:type="dxa" w:w="2160"/>
          </w:tcPr>
          <w:p>
            <w:r>
              <w:t>2025-03-12</w:t>
            </w:r>
          </w:p>
        </w:tc>
        <w:tc>
          <w:tcPr>
            <w:tcW w:type="dxa" w:w="2160"/>
          </w:tcPr>
          <w:p>
            <w:r>
              <w:t>反向寻车</w:t>
            </w:r>
          </w:p>
        </w:tc>
        <w:tc>
          <w:tcPr>
            <w:tcW w:type="dxa" w:w="2160"/>
          </w:tcPr>
          <w:p>
            <w:r>
              <w:t>98.82%</w:t>
            </w:r>
          </w:p>
        </w:tc>
        <w:tc>
          <w:tcPr>
            <w:tcW w:type="dxa" w:w="2160"/>
          </w:tcPr>
          <w:p>
            <w:r>
              <w:rPr>
                <w:color w:val="00CD00"/>
              </w:rPr>
              <w:t>通过</w:t>
            </w:r>
          </w:p>
        </w:tc>
      </w:tr>
      <w:tr>
        <w:tc>
          <w:tcPr>
            <w:tcW w:type="dxa" w:w="2160"/>
          </w:tcPr>
          <w:p>
            <w:r>
              <w:t>2025-03-11</w:t>
            </w:r>
          </w:p>
        </w:tc>
        <w:tc>
          <w:tcPr>
            <w:tcW w:type="dxa" w:w="2160"/>
          </w:tcPr>
          <w:p>
            <w:r>
              <w:t>反向寻车</w:t>
            </w:r>
          </w:p>
        </w:tc>
        <w:tc>
          <w:tcPr>
            <w:tcW w:type="dxa" w:w="2160"/>
          </w:tcPr>
          <w:p>
            <w:r>
              <w:t>98.43%</w:t>
            </w:r>
          </w:p>
        </w:tc>
        <w:tc>
          <w:tcPr>
            <w:tcW w:type="dxa" w:w="2160"/>
          </w:tcPr>
          <w:p>
            <w:r>
              <w:rPr>
                <w:color w:val="00CD00"/>
              </w:rPr>
              <w:t>通过</w:t>
            </w:r>
          </w:p>
        </w:tc>
      </w:tr>
      <w:tr>
        <w:tc>
          <w:tcPr>
            <w:tcW w:type="dxa" w:w="2160"/>
          </w:tcPr>
          <w:p>
            <w:r>
              <w:t>2025-03-12</w:t>
            </w:r>
          </w:p>
        </w:tc>
        <w:tc>
          <w:tcPr>
            <w:tcW w:type="dxa" w:w="2160"/>
          </w:tcPr>
          <w:p>
            <w:r>
              <w:t>正向引导-车位状态</w:t>
            </w:r>
          </w:p>
        </w:tc>
        <w:tc>
          <w:tcPr>
            <w:tcW w:type="dxa" w:w="2160"/>
          </w:tcPr>
          <w:p>
            <w:r>
              <w:t>84.48%</w:t>
            </w:r>
          </w:p>
        </w:tc>
        <w:tc>
          <w:tcPr>
            <w:tcW w:type="dxa" w:w="2160"/>
          </w:tcPr>
          <w:p>
            <w:r>
              <w:rPr>
                <w:color w:val="FF0000"/>
              </w:rPr>
              <w:t>风险</w:t>
            </w:r>
          </w:p>
        </w:tc>
      </w:tr>
      <w:tr>
        <w:tc>
          <w:tcPr>
            <w:tcW w:type="dxa" w:w="2160"/>
          </w:tcPr>
          <w:p>
            <w:r>
              <w:t>2025-03-11</w:t>
            </w:r>
          </w:p>
        </w:tc>
        <w:tc>
          <w:tcPr>
            <w:tcW w:type="dxa" w:w="2160"/>
          </w:tcPr>
          <w:p>
            <w:r>
              <w:t>正向引导-车位状态</w:t>
            </w:r>
          </w:p>
        </w:tc>
        <w:tc>
          <w:tcPr>
            <w:tcW w:type="dxa" w:w="2160"/>
          </w:tcPr>
          <w:p>
            <w:r>
              <w:t>89.71%</w:t>
            </w:r>
          </w:p>
        </w:tc>
        <w:tc>
          <w:tcPr>
            <w:tcW w:type="dxa" w:w="2160"/>
          </w:tcPr>
          <w:p>
            <w:r>
              <w:rPr>
                <w:color w:val="FF0000"/>
              </w:rPr>
              <w:t>风险</w:t>
            </w:r>
          </w:p>
        </w:tc>
      </w:tr>
    </w:tbl>
    <w:p>
      <w:pPr>
        <w:pStyle w:val="ListBullet"/>
      </w:pPr>
      <w:r>
        <w:t>验收总结：测试结果未连续两次达标，验收</w:t>
      </w:r>
      <w:r>
        <w:rPr>
          <w:color w:val="FF4040"/>
        </w:rPr>
        <w:t>【 不通过 】</w:t>
      </w:r>
    </w:p>
    <w:p/>
    <w:p>
      <w:pPr>
        <w:pStyle w:val="ListBullet"/>
      </w:pPr>
      <w:r>
        <w:t>反向寻车：</w:t>
      </w:r>
      <w:r>
        <w:rPr>
          <w:color w:val="636363"/>
          <w:sz w:val="26"/>
        </w:rPr>
        <w:t>根据现场实际提交车辆所在车位与系统算出来的车位做对比，结果一致为正确（不超过相邻3车位正确）</w:t>
      </w:r>
    </w:p>
    <w:p>
      <w:pPr>
        <w:pStyle w:val="ListBullet"/>
      </w:pPr>
      <w:r>
        <w:t>车位状态：</w:t>
      </w:r>
      <w:r>
        <w:rPr>
          <w:color w:val="636363"/>
          <w:sz w:val="26"/>
        </w:rPr>
        <w:t>根据现场实际提交车辆、车位信息与系统算出来的车位状态做对比，结果一致为正确</w:t>
      </w:r>
    </w:p>
    <w:p>
      <w:pPr>
        <w:pStyle w:val="ListBullet"/>
      </w:pPr>
      <w:r>
        <w:t>红绿灯：</w:t>
      </w:r>
      <w:r>
        <w:rPr>
          <w:color w:val="636363"/>
          <w:sz w:val="26"/>
        </w:rPr>
        <w:t>根据现场实际提交红绿灯状态、实际的车位状态及系统算法红绿灯状态做对比，结果一致为正确</w:t>
      </w:r>
    </w:p>
    <w:p/>
    <w:p>
      <w:r>
        <w:rPr>
          <w:rStyle w:val="Userstyle2"/>
          <w:b/>
        </w:rPr>
        <w:t>四、停车场-BI验收报告</w:t>
      </w:r>
    </w:p>
    <w:p/>
    <w:p>
      <w:pPr>
        <w:pStyle w:val="ListNumber2"/>
      </w:pPr>
      <w:r>
        <w:rPr>
          <w:b/>
        </w:rPr>
        <w:t>数据</w:t>
      </w:r>
    </w:p>
    <w:tbl>
      <w:tblPr>
        <w:tblStyle w:val="MediumGrid3-Accent6"/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984"/>
          </w:tcPr>
          <w:p>
            <w:pPr>
              <w:jc w:val="center"/>
            </w:pPr>
            <w:r>
              <w:t>测试日期</w:t>
            </w:r>
          </w:p>
        </w:tc>
        <w:tc>
          <w:tcPr>
            <w:tcW w:type="dxa" w:w="1497"/>
          </w:tcPr>
          <w:p>
            <w:pPr>
              <w:jc w:val="center"/>
            </w:pPr>
            <w:r>
              <w:t>测试总数</w:t>
            </w:r>
          </w:p>
        </w:tc>
        <w:tc>
          <w:tcPr>
            <w:tcW w:type="dxa" w:w="1247"/>
          </w:tcPr>
          <w:p>
            <w:pPr>
              <w:jc w:val="center"/>
            </w:pPr>
            <w:r>
              <w:t>通过</w:t>
            </w:r>
          </w:p>
        </w:tc>
        <w:tc>
          <w:tcPr>
            <w:tcW w:type="dxa" w:w="1247"/>
          </w:tcPr>
          <w:p>
            <w:pPr>
              <w:jc w:val="center"/>
            </w:pPr>
            <w:r>
              <w:t>失败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准确率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结果</w:t>
            </w:r>
          </w:p>
        </w:tc>
      </w:tr>
      <w:tr>
        <w:tc>
          <w:tcPr>
            <w:tcW w:type="dxa" w:w="1440"/>
          </w:tcPr>
          <w:p>
            <w:pPr>
              <w:jc w:val="center"/>
            </w:pPr>
            <w:r>
              <w:t>2025-05-28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45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44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97.78%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color w:val="EE9A00"/>
              </w:rPr>
              <w:t>预警</w:t>
            </w:r>
          </w:p>
        </w:tc>
      </w:tr>
      <w:tr>
        <w:tc>
          <w:tcPr>
            <w:tcW w:type="dxa" w:w="1440"/>
          </w:tcPr>
          <w:p>
            <w:pPr>
              <w:jc w:val="center"/>
            </w:pPr>
            <w:r>
              <w:t>2025-05-29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45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45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100.00%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color w:val="00CD00"/>
              </w:rPr>
              <w:t>通过</w:t>
            </w:r>
          </w:p>
        </w:tc>
      </w:tr>
      <w:tr>
        <w:tc>
          <w:tcPr>
            <w:tcW w:type="dxa" w:w="1440"/>
          </w:tcPr>
          <w:p>
            <w:pPr>
              <w:jc w:val="center"/>
            </w:pPr>
            <w:r>
              <w:t>2025-05-30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45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45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100.00%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color w:val="00CD00"/>
              </w:rPr>
              <w:t>通过</w:t>
            </w:r>
          </w:p>
        </w:tc>
      </w:tr>
      <w:tr>
        <w:tc>
          <w:tcPr>
            <w:tcW w:type="dxa" w:w="1440"/>
          </w:tcPr>
          <w:p>
            <w:pPr>
              <w:jc w:val="center"/>
            </w:pPr>
            <w:r>
              <w:t>2025-05-31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45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45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100.00%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color w:val="00CD00"/>
              </w:rPr>
              <w:t>通过</w:t>
            </w:r>
          </w:p>
        </w:tc>
      </w:tr>
      <w:tr>
        <w:tc>
          <w:tcPr>
            <w:tcW w:type="dxa" w:w="1440"/>
          </w:tcPr>
          <w:p>
            <w:pPr>
              <w:jc w:val="center"/>
            </w:pPr>
            <w:r>
              <w:t>2025-06-01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45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45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100.00%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color w:val="00CD00"/>
              </w:rPr>
              <w:t>通过</w:t>
            </w:r>
          </w:p>
        </w:tc>
      </w:tr>
      <w:tr>
        <w:tc>
          <w:tcPr>
            <w:tcW w:type="dxa" w:w="1440"/>
          </w:tcPr>
          <w:p>
            <w:pPr>
              <w:jc w:val="center"/>
            </w:pPr>
            <w:r>
              <w:t>2025-06-02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45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45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100.00%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color w:val="00CD00"/>
              </w:rPr>
              <w:t>通过</w:t>
            </w:r>
          </w:p>
        </w:tc>
      </w:tr>
      <w:tr>
        <w:tc>
          <w:tcPr>
            <w:tcW w:type="dxa" w:w="1440"/>
          </w:tcPr>
          <w:p>
            <w:pPr>
              <w:jc w:val="center"/>
            </w:pPr>
            <w:r>
              <w:t>2025-06-03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45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45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100.00%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color w:val="00CD00"/>
              </w:rPr>
              <w:t>通过</w:t>
            </w:r>
          </w:p>
        </w:tc>
      </w:tr>
    </w:tbl>
    <w:p/>
    <w:p>
      <w:pPr>
        <w:pStyle w:val="ListNumber2"/>
      </w:pPr>
      <w:r>
        <w:rPr>
          <w:b/>
        </w:rPr>
        <w:t>功能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pPr>
              <w:jc w:val="center"/>
            </w:pPr>
            <w:r>
              <w:t>页面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功能</w:t>
            </w:r>
          </w:p>
        </w:tc>
        <w:tc>
          <w:tcPr>
            <w:tcW w:type="dxa" w:w="2665"/>
          </w:tcPr>
          <w:p>
            <w:pPr>
              <w:jc w:val="center"/>
            </w:pPr>
            <w:r>
              <w:t>模块名称</w:t>
            </w:r>
          </w:p>
        </w:tc>
        <w:tc>
          <w:tcPr>
            <w:tcW w:type="dxa" w:w="1644"/>
          </w:tcPr>
          <w:p>
            <w:pPr>
              <w:jc w:val="center"/>
            </w:pPr>
            <w:r>
              <w:t>结果</w:t>
            </w:r>
          </w:p>
        </w:tc>
      </w:tr>
      <w:tr>
        <w:tc>
          <w:tcPr>
            <w:tcW w:type="dxa" w:w="2160"/>
            <w:vMerge w:val="restart"/>
          </w:tcPr>
          <w:p>
            <w:pPr>
              <w:jc w:val="center"/>
            </w:pPr>
            <w:r>
              <w:t>车辆统计</w:t>
            </w:r>
          </w:p>
        </w:tc>
        <w:tc>
          <w:tcPr>
            <w:tcW w:type="dxa" w:w="2160"/>
            <w:vMerge w:val="restart"/>
          </w:tcPr>
          <w:p>
            <w:pPr>
              <w:jc w:val="center"/>
            </w:pPr>
            <w:r>
              <w:t>车场概况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平均入场时间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平均出场时间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平均入场车流量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平均出场车流量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累计新到场车流量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日均新到场车流量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停车位占用比例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停车位平均周转率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平均违停车次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平均每天拥堵时长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平均每次拥堵时长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车场出入场流量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车辆明细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 w:val="restart"/>
          </w:tcPr>
          <w:p>
            <w:pPr>
              <w:jc w:val="center"/>
            </w:pPr>
            <w:r>
              <w:t>流量统计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停车位占用比例（分层）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停车位平均周转率（分层）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通道热力图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车流量分时曲线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停车位热力图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停车位被占用车位数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停车位使用时长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 w:val="restart"/>
          </w:tcPr>
          <w:p>
            <w:pPr>
              <w:jc w:val="center"/>
            </w:pPr>
            <w:r>
              <w:t>出入场效率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车辆入场效率统计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分时车辆平均入场时长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⻋辆出场效率统计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分时⻋辆平均出场时⻓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 w:val="restart"/>
          </w:tcPr>
          <w:p>
            <w:pPr>
              <w:jc w:val="center"/>
            </w:pPr>
            <w:r>
              <w:t>车辆画像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车辆车型品牌统计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车辆品牌词云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车辆价格分布统计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车辆平均价格统计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 w:val="restart"/>
          </w:tcPr>
          <w:p>
            <w:pPr>
              <w:jc w:val="center"/>
            </w:pPr>
            <w:r>
              <w:t>安全管理</w:t>
            </w:r>
          </w:p>
        </w:tc>
        <w:tc>
          <w:tcPr>
            <w:tcW w:type="dxa" w:w="2160"/>
            <w:vMerge w:val="restart"/>
          </w:tcPr>
          <w:p>
            <w:pPr>
              <w:jc w:val="center"/>
            </w:pPr>
            <w:r>
              <w:t>安全管理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平均违停车次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平均拥堵时长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违停监控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拥堵监控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</w:tcPr>
          <w:p>
            <w:pPr>
              <w:jc w:val="center"/>
            </w:pPr>
            <w:r>
              <w:t>黑名单监控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黑名单监控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黑名单监控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 w:val="restart"/>
          </w:tcPr>
          <w:p>
            <w:pPr>
              <w:jc w:val="center"/>
            </w:pPr>
            <w:r>
              <w:t>报警管理</w:t>
            </w:r>
          </w:p>
        </w:tc>
        <w:tc>
          <w:tcPr>
            <w:tcW w:type="dxa" w:w="2160"/>
            <w:vMerge w:val="restart"/>
          </w:tcPr>
          <w:p>
            <w:pPr>
              <w:jc w:val="center"/>
            </w:pPr>
            <w:r>
              <w:t>报警配置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黑名单车牌号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报警手机号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 w:val="restart"/>
          </w:tcPr>
          <w:p>
            <w:pPr>
              <w:jc w:val="center"/>
            </w:pPr>
            <w:r>
              <w:t>权限管理</w:t>
            </w:r>
          </w:p>
        </w:tc>
        <w:tc>
          <w:tcPr>
            <w:tcW w:type="dxa" w:w="2160"/>
            <w:vMerge w:val="restart"/>
          </w:tcPr>
          <w:p>
            <w:pPr>
              <w:jc w:val="center"/>
            </w:pPr>
            <w:r>
              <w:t>权限管理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创建账号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配置权限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 w:val="restart"/>
          </w:tcPr>
          <w:p>
            <w:pPr>
              <w:jc w:val="center"/>
            </w:pPr>
            <w:r>
              <w:t>VIP预约车位管理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地锁管理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地锁管理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预约方案管理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预约方案管理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后台预约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后台预约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长期车管理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长期车管理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 w:val="restart"/>
          </w:tcPr>
          <w:p>
            <w:pPr>
              <w:jc w:val="center"/>
            </w:pPr>
            <w:r>
              <w:t>正向引导管理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车位管理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车位管理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区域管理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区域管理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入口管理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入口管理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</w:tbl>
    <w:sectPr w:rsidR="00FC693F" w:rsidRPr="0006063C" w:rsidSect="00034616">
      <w:headerReference w:type="default" r:id="rId10"/>
      <w:footerReference w:type="default" r:id="rId11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rPr>
        <w:rFonts w:ascii="华文行楷" w:hAnsi="华文行楷" w:eastAsia="华文行楷"/>
        <w:sz w:val="24"/>
      </w:rPr>
      <w:t>上海虹桥万科中心停车场G1验收报告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华文行楷" w:hAnsi="华文行楷" w:eastAsia="华文行楷"/>
        <w:sz w:val="30"/>
      </w:rPr>
      <w:t>爱笔(北京)智能科技有限公司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（正文）" w:hAnsi="宋体（正文）" w:eastAsia="宋体（正文）"/>
      <w:sz w:val="2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Userstyle">
    <w:name w:val="Userstyle"/>
    <w:pPr>
      <w:jc w:val="center"/>
    </w:pPr>
    <w:rPr>
      <w:rFonts w:ascii="宋体（标题）" w:hAnsi="宋体（标题）" w:eastAsia="宋体（标题）"/>
      <w:b/>
      <w:color w:val="000000"/>
      <w:sz w:val="60"/>
    </w:rPr>
  </w:style>
  <w:style w:type="paragraph" w:customStyle="1" w:styleId="Userstyle1">
    <w:name w:val="Userstyle1"/>
    <w:pPr>
      <w:ind w:firstLine="1134"/>
      <w:jc w:val="left"/>
    </w:pPr>
    <w:rPr>
      <w:rFonts w:ascii="宋体（正文）" w:hAnsi="宋体（正文）" w:eastAsia="宋体（正文）"/>
      <w:color w:val="000000"/>
      <w:sz w:val="44"/>
    </w:rPr>
  </w:style>
  <w:style w:type="character" w:customStyle="1" w:styleId="Userstyle2">
    <w:name w:val="Userstyle2"/>
    <w:rPr>
      <w:rFonts w:ascii="宋体（正文）" w:hAnsi="宋体（正文）" w:eastAsia="宋体（正文）"/>
      <w:color w:val="000000"/>
      <w:sz w:val="40"/>
    </w:rPr>
  </w:style>
  <w:style w:type="character" w:customStyle="1" w:styleId="Userstyle3">
    <w:name w:val="Userstyle3"/>
    <w:rPr>
      <w:rFonts w:ascii="宋体（正文）" w:hAnsi="宋体（正文）" w:eastAsia="宋体（正文）"/>
      <w:color w:val="000000"/>
      <w:sz w:val="3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eader" Target="header1.xm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